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0" w:after="0"/>
        <w:jc w:val="center"/>
        <w:rPr>
          <w:b w:val="false"/>
          <w:b w:val="false"/>
          <w:bCs w:val="false"/>
          <w:smallCaps/>
          <w:sz w:val="32"/>
          <w:szCs w:val="32"/>
          <w:shd w:fill="FFFFFF" w:val="clear"/>
        </w:rPr>
      </w:pPr>
      <w:r>
        <w:rPr>
          <w:b w:val="false"/>
          <w:bCs w:val="false"/>
          <w:smallCaps/>
          <w:sz w:val="32"/>
          <w:szCs w:val="32"/>
          <w:shd w:fill="FFFFFF" w:val="clear"/>
        </w:rPr>
        <w:t>Morningthorpe and</w:t>
      </w:r>
      <w:bookmarkStart w:id="0" w:name="_GoBack"/>
      <w:bookmarkEnd w:id="0"/>
      <w:r>
        <w:rPr>
          <w:b w:val="false"/>
          <w:bCs w:val="false"/>
          <w:smallCaps/>
          <w:sz w:val="32"/>
          <w:szCs w:val="32"/>
          <w:shd w:fill="FFFFFF" w:val="clear"/>
        </w:rPr>
        <w:t xml:space="preserve"> Fritton Parish Council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Draft minutes of Parish Council meeting held at The Barn, Friars Farm, Morningthorpe</w:t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 xml:space="preserve">at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.30pm on Tuesday </w:t>
      </w:r>
      <w:r>
        <w:rPr>
          <w:sz w:val="24"/>
          <w:szCs w:val="24"/>
        </w:rPr>
        <w:t>14 January 2020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</w:t>
        <w:tab/>
        <w:tab/>
        <w:t xml:space="preserve">Cllrs  P Rodger (Chair), W Sargent (Vice Chair), C McDonnell, W Sargent, N </w:t>
        <w:tab/>
        <w:tab/>
        <w:tab/>
        <w:t>Cullum, P</w:t>
      </w:r>
      <w:r>
        <w:rPr>
          <w:b w:val="false"/>
          <w:bCs w:val="false"/>
          <w:sz w:val="24"/>
          <w:szCs w:val="24"/>
        </w:rPr>
        <w:t xml:space="preserve"> Cooper</w:t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In attendance:</w:t>
      </w:r>
      <w:r>
        <w:rPr>
          <w:b w:val="false"/>
          <w:bCs w:val="false"/>
          <w:sz w:val="24"/>
          <w:szCs w:val="24"/>
        </w:rPr>
        <w:t xml:space="preserve"> </w:t>
        <w:tab/>
      </w:r>
      <w:r>
        <w:rPr>
          <w:sz w:val="24"/>
          <w:szCs w:val="24"/>
        </w:rPr>
        <w:t>G Roderick-Jones (Clerk)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1</w:t>
        <w:tab/>
      </w:r>
      <w:r>
        <w:rPr>
          <w:b/>
          <w:bCs/>
          <w:sz w:val="24"/>
          <w:szCs w:val="24"/>
        </w:rPr>
        <w:t>Apologies</w:t>
      </w:r>
      <w:r>
        <w:rPr>
          <w:sz w:val="24"/>
          <w:szCs w:val="24"/>
        </w:rPr>
        <w:t xml:space="preserve"> for absence:</w:t>
        <w:tab/>
        <w:t>County Cllr A Thomas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2</w:t>
        <w:tab/>
      </w:r>
      <w:r>
        <w:rPr>
          <w:b/>
          <w:bCs/>
          <w:sz w:val="24"/>
          <w:szCs w:val="24"/>
        </w:rPr>
        <w:t>Declarations</w:t>
      </w:r>
      <w:r>
        <w:rPr>
          <w:sz w:val="24"/>
          <w:szCs w:val="24"/>
        </w:rPr>
        <w:t xml:space="preserve"> of interest:  </w:t>
        <w:tab/>
      </w:r>
      <w:r>
        <w:rPr>
          <w:sz w:val="24"/>
          <w:szCs w:val="24"/>
        </w:rPr>
        <w:t>P Rodger declared an interest in item 8 a (Planning)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</w:rPr>
        <w:t>3</w:t>
        <w:tab/>
      </w:r>
      <w:r>
        <w:rPr>
          <w:b/>
          <w:bCs/>
          <w:sz w:val="24"/>
          <w:szCs w:val="24"/>
        </w:rPr>
        <w:t>Public discussion:</w:t>
        <w:tab/>
      </w:r>
      <w:r>
        <w:rPr>
          <w:b w:val="false"/>
          <w:bCs w:val="false"/>
          <w:sz w:val="24"/>
          <w:szCs w:val="24"/>
        </w:rPr>
        <w:t>none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sz w:val="24"/>
          <w:szCs w:val="24"/>
        </w:rPr>
        <w:t>4</w:t>
        <w:tab/>
      </w:r>
      <w:r>
        <w:rPr>
          <w:b/>
          <w:bCs/>
          <w:sz w:val="24"/>
          <w:szCs w:val="24"/>
        </w:rPr>
        <w:t xml:space="preserve">Report from County Councillor:  </w:t>
      </w:r>
      <w:r>
        <w:rPr>
          <w:b w:val="false"/>
          <w:bCs w:val="false"/>
          <w:sz w:val="24"/>
          <w:szCs w:val="24"/>
        </w:rPr>
        <w:t>(submitted by email)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A public consultation on a </w:t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C</w:t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ounty </w:t>
        <w:tab/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Divisions </w:t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boundary review is due soon, and it would be advisable to check for any changes </w:t>
        <w:tab/>
        <w:t>affecting this local area.</w:t>
      </w:r>
    </w:p>
    <w:p>
      <w:pPr>
        <w:pStyle w:val="Normal"/>
        <w:spacing w:lineRule="auto" w:line="240" w:before="0" w:after="0"/>
        <w:ind w:left="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Minutes</w:t>
      </w:r>
      <w:bookmarkStart w:id="1" w:name="__UnoMark__240_1542508636"/>
      <w:bookmarkEnd w:id="1"/>
      <w:r>
        <w:rPr>
          <w:sz w:val="24"/>
          <w:szCs w:val="24"/>
        </w:rPr>
        <w:t xml:space="preserve"> of the last meeting held on </w:t>
      </w:r>
      <w:r>
        <w:rPr>
          <w:sz w:val="24"/>
          <w:szCs w:val="24"/>
        </w:rPr>
        <w:t>12 November</w:t>
      </w:r>
      <w:r>
        <w:rPr>
          <w:sz w:val="24"/>
          <w:szCs w:val="24"/>
        </w:rPr>
        <w:t xml:space="preserve"> 2019 were approved and signed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Matters arising</w:t>
      </w:r>
      <w:r>
        <w:rPr>
          <w:sz w:val="24"/>
          <w:szCs w:val="24"/>
        </w:rPr>
        <w:t xml:space="preserve"> from the minutes:  none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Finances: </w:t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  <w:tab/>
      </w:r>
      <w:r>
        <w:rPr>
          <w:rFonts w:ascii="Calibri" w:hAnsi="Calibri"/>
          <w:sz w:val="24"/>
          <w:szCs w:val="24"/>
          <w:lang w:val="en-US"/>
        </w:rPr>
        <w:t>a</w:t>
        <w:tab/>
        <w:t>Bank balances @</w:t>
      </w:r>
      <w:r>
        <w:rPr>
          <w:rFonts w:ascii="Calibri" w:hAnsi="Calibri"/>
          <w:color w:val="00000A"/>
          <w:sz w:val="24"/>
          <w:szCs w:val="24"/>
          <w:lang w:val="en-US"/>
        </w:rPr>
        <w:t xml:space="preserve"> 8 January 2020 </w:t>
      </w:r>
      <w:r>
        <w:rPr>
          <w:rFonts w:ascii="Calibri" w:hAnsi="Calibri"/>
          <w:color w:val="00000A"/>
          <w:sz w:val="24"/>
          <w:szCs w:val="24"/>
          <w:lang w:val="en-US"/>
        </w:rPr>
        <w:t>NOTED: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 xml:space="preserve">Community Account  </w:t>
        <w:tab/>
        <w:t>£2549.26</w:t>
        <w:tab/>
        <w:tab/>
        <w:tab/>
        <w:tab/>
        <w:tab/>
        <w:tab/>
        <w:tab/>
        <w:tab/>
        <w:t>Savings 1</w:t>
        <w:tab/>
        <w:tab/>
        <w:t>£3430.84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>Savings 2</w:t>
        <w:tab/>
        <w:tab/>
        <w:t>£1061.01 (includes donation)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>TOTAL</w:t>
        <w:tab/>
        <w:tab/>
        <w:tab/>
        <w:t>£7041.11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b</w:t>
        <w:tab/>
      </w:r>
      <w:r>
        <w:rPr>
          <w:rFonts w:ascii="Calibri" w:hAnsi="Calibri"/>
          <w:sz w:val="24"/>
          <w:szCs w:val="24"/>
          <w:lang w:val="en-US"/>
        </w:rPr>
        <w:t>F</w:t>
      </w:r>
      <w:r>
        <w:rPr>
          <w:rFonts w:ascii="Calibri" w:hAnsi="Calibri"/>
          <w:sz w:val="24"/>
          <w:szCs w:val="24"/>
          <w:lang w:val="en-US"/>
        </w:rPr>
        <w:t>igures for Receipts and Payments for the financial year to date: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</w:r>
      <w:r>
        <w:rPr>
          <w:rFonts w:ascii="Calibri" w:hAnsi="Calibri"/>
          <w:sz w:val="24"/>
          <w:szCs w:val="24"/>
          <w:lang w:val="en-US"/>
        </w:rPr>
        <w:t xml:space="preserve">two figures need to be amended – the Evolution Joinery quote is for £800 not </w:t>
        <w:tab/>
        <w:tab/>
        <w:t>£1000, and the PCC annual donation of £300 needs to be added to the antici</w:t>
        <w:tab/>
        <w:tab/>
        <w:t>pated payments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>c</w:t>
        <w:tab/>
        <w:t>Decision on most appropriate precept option and signing of precept form: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</w:r>
      <w:r>
        <w:rPr>
          <w:rFonts w:ascii="Calibri" w:hAnsi="Calibri"/>
          <w:sz w:val="24"/>
          <w:szCs w:val="24"/>
          <w:lang w:val="en-US"/>
        </w:rPr>
        <w:t xml:space="preserve">as a result of steadily increasing day-to-day costs the council have opted for an </w:t>
        <w:tab/>
        <w:tab/>
        <w:tab/>
        <w:t xml:space="preserve">increase of £2.75 per household per annum (equating to 26p per month) for a </w:t>
        <w:tab/>
        <w:tab/>
        <w:tab/>
        <w:t xml:space="preserve">Band D property. This is an increase of 10% over the current charge, and will </w:t>
        <w:tab/>
        <w:tab/>
        <w:tab/>
        <w:t>raise the total precept to £3000 per annum.</w:t>
      </w:r>
    </w:p>
    <w:p>
      <w:pPr>
        <w:pStyle w:val="Normal"/>
        <w:spacing w:before="0" w:after="0"/>
        <w:rPr/>
      </w:pPr>
      <w:r>
        <w:rPr>
          <w:rFonts w:ascii="Calibri" w:hAnsi="Calibri"/>
          <w:sz w:val="24"/>
          <w:szCs w:val="24"/>
          <w:lang w:val="en-US"/>
        </w:rPr>
        <w:tab/>
        <w:tab/>
        <w:tab/>
        <w:t>This was proposed by Cllr Sargent, seconded by Cllr Cooper, and agreed by all.</w:t>
      </w:r>
    </w:p>
    <w:p>
      <w:pPr>
        <w:pStyle w:val="Normal"/>
        <w:spacing w:before="0" w:after="0"/>
        <w:rPr>
          <w:rFonts w:ascii="Calibri" w:hAnsi="Calibri"/>
          <w:sz w:val="24"/>
          <w:szCs w:val="24"/>
          <w:lang w:val="en-US"/>
        </w:rPr>
      </w:pPr>
      <w:r>
        <w:rPr/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>8</w:t>
        <w:tab/>
      </w:r>
      <w:r>
        <w:rPr>
          <w:b/>
          <w:bCs/>
          <w:sz w:val="24"/>
          <w:szCs w:val="24"/>
          <w:lang w:val="en-US"/>
        </w:rPr>
        <w:t xml:space="preserve">Planning issues: </w:t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>a</w:t>
        <w:tab/>
      </w:r>
      <w:r>
        <w:rPr>
          <w:rFonts w:ascii="Calibri" w:hAnsi="Calibri"/>
          <w:sz w:val="24"/>
          <w:szCs w:val="24"/>
          <w:lang w:val="en-US"/>
        </w:rPr>
        <w:t>2019</w:t>
      </w:r>
      <w:r>
        <w:rPr>
          <w:rFonts w:ascii="Calibri" w:hAnsi="Calibri"/>
          <w:sz w:val="24"/>
          <w:szCs w:val="24"/>
          <w:lang w:val="en-US"/>
        </w:rPr>
        <w:t>/</w:t>
      </w:r>
      <w:r>
        <w:rPr>
          <w:rFonts w:ascii="Calibri" w:hAnsi="Calibri"/>
          <w:sz w:val="24"/>
          <w:szCs w:val="24"/>
          <w:lang w:val="en-US"/>
        </w:rPr>
        <w:t>2513</w:t>
      </w:r>
      <w:r>
        <w:rPr>
          <w:rFonts w:ascii="Calibri" w:hAnsi="Calibri"/>
          <w:sz w:val="24"/>
          <w:szCs w:val="24"/>
          <w:lang w:val="en-US"/>
        </w:rPr>
        <w:t xml:space="preserve"> land north of Wood Green: </w:t>
      </w:r>
      <w:r>
        <w:rPr>
          <w:rFonts w:ascii="Calibri" w:hAnsi="Calibri"/>
          <w:sz w:val="24"/>
          <w:szCs w:val="24"/>
          <w:lang w:val="en-US"/>
        </w:rPr>
        <w:t xml:space="preserve">change of use to </w:t>
      </w:r>
      <w:r>
        <w:rPr>
          <w:rFonts w:ascii="Calibri" w:hAnsi="Calibri"/>
          <w:sz w:val="24"/>
          <w:szCs w:val="24"/>
          <w:lang w:val="en-US"/>
        </w:rPr>
        <w:t xml:space="preserve">boar stud – </w:t>
      </w:r>
      <w:r>
        <w:rPr>
          <w:rFonts w:ascii="Calibri" w:hAnsi="Calibri"/>
          <w:sz w:val="24"/>
          <w:szCs w:val="24"/>
          <w:lang w:val="en-US"/>
        </w:rPr>
        <w:t>NO COMMENT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>b</w:t>
        <w:tab/>
      </w:r>
      <w:r>
        <w:rPr>
          <w:rFonts w:ascii="Calibri" w:hAnsi="Calibri"/>
          <w:sz w:val="24"/>
          <w:szCs w:val="24"/>
          <w:lang w:val="en-US"/>
        </w:rPr>
        <w:t>2019/2545 Brick Kiln Works: erection of stor</w:t>
      </w:r>
      <w:r>
        <w:rPr>
          <w:rFonts w:ascii="Calibri" w:hAnsi="Calibri"/>
          <w:sz w:val="24"/>
          <w:szCs w:val="24"/>
          <w:lang w:val="en-US"/>
        </w:rPr>
        <w:t>ag</w:t>
      </w:r>
      <w:r>
        <w:rPr>
          <w:rFonts w:ascii="Calibri" w:hAnsi="Calibri"/>
          <w:sz w:val="24"/>
          <w:szCs w:val="24"/>
          <w:lang w:val="en-US"/>
        </w:rPr>
        <w:t xml:space="preserve">e building on </w:t>
      </w:r>
      <w:r>
        <w:rPr>
          <w:rFonts w:ascii="Calibri" w:hAnsi="Calibri"/>
          <w:sz w:val="24"/>
          <w:szCs w:val="24"/>
          <w:lang w:val="en-US"/>
        </w:rPr>
        <w:t xml:space="preserve">existing </w:t>
      </w:r>
      <w:r>
        <w:rPr>
          <w:rFonts w:ascii="Calibri" w:hAnsi="Calibri"/>
          <w:sz w:val="24"/>
          <w:szCs w:val="24"/>
          <w:lang w:val="en-US"/>
        </w:rPr>
        <w:t xml:space="preserve">concrete pad – </w:t>
        <w:tab/>
        <w:tab/>
      </w:r>
      <w:r>
        <w:rPr>
          <w:rFonts w:ascii="Calibri" w:hAnsi="Calibri"/>
          <w:sz w:val="24"/>
          <w:szCs w:val="24"/>
          <w:lang w:val="en-US"/>
        </w:rPr>
        <w:t xml:space="preserve">NO COMMENT 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>c</w:t>
      </w:r>
      <w:r>
        <w:rPr>
          <w:rFonts w:ascii="Calibri" w:hAnsi="Calibri"/>
          <w:sz w:val="24"/>
          <w:szCs w:val="24"/>
          <w:lang w:val="en-US"/>
        </w:rPr>
        <w:tab/>
        <w:t xml:space="preserve">2020/0011 1, Council Houses, The Common, Fritton: single storey rear extension – </w:t>
      </w:r>
      <w:r>
        <w:rPr>
          <w:rFonts w:ascii="Calibri" w:hAnsi="Calibri"/>
          <w:sz w:val="24"/>
          <w:szCs w:val="24"/>
          <w:lang w:val="en-US"/>
        </w:rPr>
        <w:t xml:space="preserve">NO </w:t>
        <w:tab/>
        <w:tab/>
        <w:t>COMMENT</w:t>
      </w:r>
    </w:p>
    <w:p>
      <w:pPr>
        <w:pStyle w:val="Body"/>
        <w:shd w:val="clear" w:fill="FFFFFF"/>
        <w:spacing w:lineRule="auto" w:line="240"/>
        <w:jc w:val="left"/>
        <w:rPr>
          <w:lang w:val="en-US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</w:t>
        <w:tab/>
        <w:t>Update on funding for community defibrillator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District Councillor Edney has submitted an application for £1000 towards the defibrillator </w:t>
        <w:tab/>
        <w:t xml:space="preserve">from the Community Action Fund (CAF). Decisions on allocation of funds is made in </w:t>
        <w:tab/>
        <w:tab/>
        <w:t xml:space="preserve">January/February. The Parish Council have decided that if the bid is unsuccessful, they will </w:t>
        <w:tab/>
        <w:t>proceed with the purchase regardless, using funds raised by the community recently, supple</w:t>
        <w:tab/>
        <w:t xml:space="preserve">mented by PC reserves. A qualified electrician will need to install: Cllr Cooper will obtain a </w:t>
        <w:tab/>
        <w:t>quote.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10</w:t>
        <w:tab/>
        <w:t>Pond work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The newt season is too close for pond work to start now. Later in 2020 the pipe leading from </w:t>
        <w:tab/>
        <w:t>the pond into the ditch will need to be unblocked and the ditch lowered. This will require Nat</w:t>
        <w:tab/>
        <w:t>ural England permission, which Cllr Sargent will obtain.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11</w:t>
        <w:tab/>
        <w:t>Conservation Area Survey results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Some residents affected by minor changes in the Conservation Area boundaries have been </w:t>
        <w:tab/>
        <w:t xml:space="preserve">notified. The Parish Council has not received information, though a new map can be seen on </w:t>
        <w:tab/>
        <w:t>the SNDC website.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12</w:t>
        <w:tab/>
        <w:t xml:space="preserve">Community noticeboards: 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 xml:space="preserve">Repais to the </w:t>
      </w:r>
      <w:r>
        <w:rPr>
          <w:rFonts w:ascii="Calibri" w:hAnsi="Calibri"/>
          <w:sz w:val="24"/>
          <w:szCs w:val="24"/>
          <w:lang w:val="en-US"/>
        </w:rPr>
        <w:t xml:space="preserve">Fritton </w:t>
      </w:r>
      <w:r>
        <w:rPr>
          <w:rFonts w:ascii="Calibri" w:hAnsi="Calibri"/>
          <w:sz w:val="24"/>
          <w:szCs w:val="24"/>
          <w:lang w:val="en-US"/>
        </w:rPr>
        <w:t>noticeboard are underway.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 xml:space="preserve">Funding from the Member's Grant for the new </w:t>
      </w:r>
      <w:r>
        <w:rPr>
          <w:rFonts w:ascii="Calibri" w:hAnsi="Calibri"/>
          <w:sz w:val="24"/>
          <w:szCs w:val="24"/>
          <w:lang w:val="en-US"/>
        </w:rPr>
        <w:t xml:space="preserve">Morningthorpe </w:t>
      </w:r>
      <w:r>
        <w:rPr>
          <w:rFonts w:ascii="Calibri" w:hAnsi="Calibri"/>
          <w:sz w:val="24"/>
          <w:szCs w:val="24"/>
          <w:lang w:val="en-US"/>
        </w:rPr>
        <w:t xml:space="preserve">noticeboard has been refused </w:t>
        <w:tab/>
        <w:t xml:space="preserve">as noticeboards are no longer eligible. This is now on hold pending the outcome of the CAF </w:t>
        <w:tab/>
        <w:t>application (item 9 above).  We also still have not received permission from Highways to posi</w:t>
        <w:tab/>
        <w:t>tion the new noticeboard on the verge outside St John's. Clerk will follow up.</w:t>
      </w:r>
    </w:p>
    <w:p>
      <w:pPr>
        <w:pStyle w:val="Body"/>
        <w:shd w:val="clear" w:fill="FFFFFF"/>
        <w:spacing w:lineRule="auto" w:line="240"/>
        <w:jc w:val="left"/>
        <w:rPr>
          <w:lang w:val="en-US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13</w:t>
        <w:tab/>
        <w:t xml:space="preserve">Any Other Business/Items for Next Agenda </w:t>
      </w:r>
      <w:r>
        <w:rPr>
          <w:b w:val="false"/>
          <w:bCs w:val="false"/>
          <w:sz w:val="24"/>
          <w:szCs w:val="24"/>
        </w:rPr>
        <w:t>as noted above</w:t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Next meeting:  </w:t>
      </w:r>
      <w:r>
        <w:rPr>
          <w:b w:val="false"/>
          <w:bCs w:val="false"/>
          <w:sz w:val="24"/>
          <w:szCs w:val="24"/>
        </w:rPr>
        <w:t xml:space="preserve">Tuesday </w:t>
      </w:r>
      <w:r>
        <w:rPr>
          <w:b w:val="false"/>
          <w:bCs w:val="false"/>
          <w:sz w:val="24"/>
          <w:szCs w:val="24"/>
        </w:rPr>
        <w:t>10 March</w:t>
      </w:r>
      <w:r>
        <w:rPr>
          <w:b w:val="false"/>
          <w:bCs w:val="false"/>
          <w:sz w:val="24"/>
          <w:szCs w:val="24"/>
        </w:rPr>
        <w:t xml:space="preserve"> 2020 at 6.30pm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</w:r>
    </w:p>
    <w:sectPr>
      <w:footerReference w:type="default" r:id="rId2"/>
      <w:type w:val="nextPage"/>
      <w:pgSz w:w="11906" w:h="16838"/>
      <w:pgMar w:left="1020" w:right="1020" w:header="0" w:top="1247" w:footer="1247" w:bottom="172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left"/>
      <w:rPr/>
    </w:pPr>
    <w:r>
      <w:rPr>
        <w:smallCaps/>
        <w:sz w:val="16"/>
      </w:rPr>
      <w:t>Morningthorpe &amp; Fritton Parish Council</w:t>
      <w:tab/>
      <w:tab/>
      <w:tab/>
    </w:r>
    <w:r>
      <w:rPr>
        <w:smallCaps/>
        <w:sz w:val="16"/>
      </w:rPr>
      <w:t xml:space="preserve">January 2020 </w:t>
    </w:r>
    <w:r>
      <w:rPr>
        <w:smallCaps/>
        <w:sz w:val="16"/>
      </w:rPr>
      <w:t>Minutes</w:t>
      <w:tab/>
      <w:tab/>
      <w:tab/>
      <w:tab/>
      <w:tab/>
      <w:t xml:space="preserve">Page </w:t>
    </w:r>
    <w:r>
      <w:rPr>
        <w:smallCaps/>
        <w:sz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Symbol"/>
      <w:b w:val="false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Symbol"/>
      <w:b w:val="false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  <w:b w:val="false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Symbol"/>
      <w:b w:val="false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OpenSymbol"/>
      <w:b w:val="false"/>
    </w:rPr>
  </w:style>
  <w:style w:type="character" w:styleId="ListLabel13">
    <w:name w:val="ListLabel 13"/>
    <w:qFormat/>
    <w:rPr>
      <w:rFonts w:cs="OpenSymbol"/>
      <w:b w:val="false"/>
    </w:rPr>
  </w:style>
  <w:style w:type="character" w:styleId="ListLabel14">
    <w:name w:val="ListLabel 14"/>
    <w:qFormat/>
    <w:rPr>
      <w:rFonts w:cs="Symbol"/>
      <w:sz w:val="20"/>
    </w:rPr>
  </w:style>
  <w:style w:type="character" w:styleId="ListLabel15">
    <w:name w:val="ListLabel 15"/>
    <w:qFormat/>
    <w:rPr>
      <w:rFonts w:cs="OpenSymbol"/>
      <w:b w:val="false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b w:val="false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cs="OpenSymbol"/>
      <w:b w:val="false"/>
    </w:rPr>
  </w:style>
  <w:style w:type="character" w:styleId="ListLabel20">
    <w:name w:val="ListLabel 20"/>
    <w:qFormat/>
    <w:rPr>
      <w:rFonts w:cs="Symbol"/>
      <w:b w:val="false"/>
    </w:rPr>
  </w:style>
  <w:style w:type="character" w:styleId="ListLabel21">
    <w:name w:val="ListLabel 21"/>
    <w:qFormat/>
    <w:rPr>
      <w:rFonts w:ascii="Helvetica" w:hAnsi="Helvetica" w:cs="Wingdings"/>
      <w:b w:val="false"/>
      <w:sz w:val="20"/>
    </w:rPr>
  </w:style>
  <w:style w:type="character" w:styleId="ListLabel22">
    <w:name w:val="ListLabel 22"/>
    <w:qFormat/>
    <w:rPr>
      <w:rFonts w:ascii="Helvetica" w:hAnsi="Helvetica" w:cs="OpenSymbol"/>
      <w:b w:val="false"/>
      <w:sz w:val="20"/>
    </w:rPr>
  </w:style>
  <w:style w:type="character" w:styleId="ListLabel23">
    <w:name w:val="ListLabel 23"/>
    <w:qFormat/>
    <w:rPr>
      <w:rFonts w:cs="Symbol"/>
      <w:sz w:val="20"/>
    </w:rPr>
  </w:style>
  <w:style w:type="character" w:styleId="ListLabel24">
    <w:name w:val="ListLabel 24"/>
    <w:qFormat/>
    <w:rPr>
      <w:rFonts w:cs="OpenSymbol"/>
      <w:b w:val="false"/>
    </w:rPr>
  </w:style>
  <w:style w:type="character" w:styleId="ListLabel25">
    <w:name w:val="ListLabel 25"/>
    <w:qFormat/>
    <w:rPr>
      <w:rFonts w:cs="Symbol"/>
      <w:b w:val="false"/>
    </w:rPr>
  </w:style>
  <w:style w:type="character" w:styleId="ListLabel26">
    <w:name w:val="ListLabel 26"/>
    <w:qFormat/>
    <w:rPr>
      <w:rFonts w:cs="OpenSymbol"/>
      <w:b w:val="false"/>
      <w:sz w:val="20"/>
    </w:rPr>
  </w:style>
  <w:style w:type="character" w:styleId="ListLabel27">
    <w:name w:val="ListLabel 27"/>
    <w:qFormat/>
    <w:rPr>
      <w:rFonts w:cs="Symbol"/>
      <w:b w:val="false"/>
      <w:sz w:val="20"/>
    </w:rPr>
  </w:style>
  <w:style w:type="character" w:styleId="ListLabel28">
    <w:name w:val="ListLabel 28"/>
    <w:qFormat/>
    <w:rPr>
      <w:rFonts w:cs="OpenSymbol"/>
      <w:b w:val="false"/>
    </w:rPr>
  </w:style>
  <w:style w:type="character" w:styleId="ListLabel29">
    <w:name w:val="ListLabel 29"/>
    <w:qFormat/>
    <w:rPr>
      <w:rFonts w:cs="Symbol"/>
      <w:sz w:val="20"/>
    </w:rPr>
  </w:style>
  <w:style w:type="character" w:styleId="ListLabel30">
    <w:name w:val="ListLabel 30"/>
    <w:qFormat/>
    <w:rPr>
      <w:rFonts w:cs="OpenSymbol"/>
      <w:b w:val="false"/>
    </w:rPr>
  </w:style>
  <w:style w:type="character" w:styleId="ListLabel31">
    <w:name w:val="ListLabel 31"/>
    <w:qFormat/>
    <w:rPr>
      <w:rFonts w:cs="Symbol"/>
      <w:b w:val="false"/>
    </w:rPr>
  </w:style>
  <w:style w:type="character" w:styleId="ListLabel32">
    <w:name w:val="ListLabel 32"/>
    <w:qFormat/>
    <w:rPr>
      <w:rFonts w:cs="OpenSymbol"/>
      <w:b w:val="false"/>
      <w:sz w:val="20"/>
    </w:rPr>
  </w:style>
  <w:style w:type="character" w:styleId="ListLabel33">
    <w:name w:val="ListLabel 33"/>
    <w:qFormat/>
    <w:rPr>
      <w:rFonts w:cs="Symbol"/>
      <w:b w:val="false"/>
      <w:sz w:val="20"/>
    </w:rPr>
  </w:style>
  <w:style w:type="character" w:styleId="ListLabel34">
    <w:name w:val="ListLabel 34"/>
    <w:qFormat/>
    <w:rPr>
      <w:rFonts w:cs="Symbol"/>
      <w:b w:val="false"/>
      <w:sz w:val="20"/>
    </w:rPr>
  </w:style>
  <w:style w:type="character" w:styleId="ListLabel35">
    <w:name w:val="ListLabel 35"/>
    <w:qFormat/>
    <w:rPr>
      <w:rFonts w:cs="OpenSymbol"/>
      <w:b w:val="false"/>
      <w:sz w:val="20"/>
    </w:rPr>
  </w:style>
  <w:style w:type="character" w:styleId="ListLabel36">
    <w:name w:val="ListLabel 36"/>
    <w:qFormat/>
    <w:rPr>
      <w:rFonts w:cs="Symbol"/>
      <w:b w:val="false"/>
      <w:sz w:val="20"/>
    </w:rPr>
  </w:style>
  <w:style w:type="character" w:styleId="ListLabel37">
    <w:name w:val="ListLabel 37"/>
    <w:qFormat/>
    <w:rPr>
      <w:rFonts w:cs="OpenSymbol"/>
      <w:b w:val="false"/>
      <w:sz w:val="20"/>
    </w:rPr>
  </w:style>
  <w:style w:type="character" w:styleId="ListLabel38">
    <w:name w:val="ListLabel 38"/>
    <w:qFormat/>
    <w:rPr>
      <w:rFonts w:cs="Symbol"/>
      <w:b w:val="false"/>
      <w:sz w:val="20"/>
    </w:rPr>
  </w:style>
  <w:style w:type="character" w:styleId="ListLabel39">
    <w:name w:val="ListLabel 39"/>
    <w:qFormat/>
    <w:rPr>
      <w:rFonts w:cs="OpenSymbol"/>
      <w:b w:val="false"/>
      <w:sz w:val="20"/>
    </w:rPr>
  </w:style>
  <w:style w:type="character" w:styleId="ListLabel40">
    <w:name w:val="ListLabel 40"/>
    <w:qFormat/>
    <w:rPr>
      <w:rFonts w:cs="Symbol"/>
      <w:b w:val="false"/>
      <w:sz w:val="20"/>
    </w:rPr>
  </w:style>
  <w:style w:type="character" w:styleId="ListLabel41">
    <w:name w:val="ListLabel 41"/>
    <w:qFormat/>
    <w:rPr>
      <w:rFonts w:cs="OpenSymbol"/>
      <w:b w:val="false"/>
      <w:sz w:val="20"/>
    </w:rPr>
  </w:style>
  <w:style w:type="character" w:styleId="ListLabel42">
    <w:name w:val="ListLabel 42"/>
    <w:qFormat/>
    <w:rPr>
      <w:rFonts w:cs="Symbol"/>
      <w:b w:val="false"/>
      <w:sz w:val="20"/>
    </w:rPr>
  </w:style>
  <w:style w:type="character" w:styleId="ListLabel43">
    <w:name w:val="ListLabel 43"/>
    <w:qFormat/>
    <w:rPr>
      <w:rFonts w:cs="OpenSymbol"/>
      <w:b w:val="false"/>
      <w:sz w:val="20"/>
    </w:rPr>
  </w:style>
  <w:style w:type="character" w:styleId="ListLabel44">
    <w:name w:val="ListLabel 44"/>
    <w:qFormat/>
    <w:rPr>
      <w:rFonts w:cs="Symbol"/>
      <w:b w:val="false"/>
      <w:sz w:val="20"/>
    </w:rPr>
  </w:style>
  <w:style w:type="character" w:styleId="ListLabel45">
    <w:name w:val="ListLabel 45"/>
    <w:qFormat/>
    <w:rPr>
      <w:rFonts w:cs="OpenSymbol"/>
      <w:b w:val="false"/>
      <w:sz w:val="20"/>
    </w:rPr>
  </w:style>
  <w:style w:type="character" w:styleId="ListLabel46">
    <w:name w:val="ListLabel 46"/>
    <w:qFormat/>
    <w:rPr>
      <w:rFonts w:cs="Symbol"/>
      <w:b w:val="false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Symbol"/>
      <w:b w:val="false"/>
      <w:sz w:val="20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ascii="Calibri" w:hAnsi="Calibri" w:cs="Symbol"/>
      <w:b w:val="false"/>
      <w:sz w:val="20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  <w:b w:val="false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OpenSymbol"/>
      <w:sz w:val="20"/>
    </w:rPr>
  </w:style>
  <w:style w:type="character" w:styleId="ListLabel57">
    <w:name w:val="ListLabel 57"/>
    <w:qFormat/>
    <w:rPr>
      <w:rFonts w:cs="Symbol"/>
      <w:sz w:val="20"/>
    </w:rPr>
  </w:style>
  <w:style w:type="character" w:styleId="ListLabel58">
    <w:name w:val="ListLabel 58"/>
    <w:qFormat/>
    <w:rPr>
      <w:rFonts w:cs="OpenSymbol"/>
      <w:sz w:val="20"/>
    </w:rPr>
  </w:style>
  <w:style w:type="character" w:styleId="ListLabel59">
    <w:name w:val="ListLabel 59"/>
    <w:qFormat/>
    <w:rPr>
      <w:rFonts w:cs="Symbol"/>
      <w:b w:val="false"/>
      <w:sz w:val="20"/>
    </w:rPr>
  </w:style>
  <w:style w:type="character" w:styleId="ListLabel60">
    <w:name w:val="ListLabel 60"/>
    <w:qFormat/>
    <w:rPr>
      <w:rFonts w:cs="OpenSymbol"/>
      <w:b w:val="false"/>
      <w:sz w:val="20"/>
    </w:rPr>
  </w:style>
  <w:style w:type="character" w:styleId="ListLabel61">
    <w:name w:val="ListLabel 61"/>
    <w:qFormat/>
    <w:rPr>
      <w:rFonts w:cs="Symbol"/>
      <w:b w:val="false"/>
      <w:sz w:val="20"/>
    </w:rPr>
  </w:style>
  <w:style w:type="character" w:styleId="ListLabel62">
    <w:name w:val="ListLabel 62"/>
    <w:qFormat/>
    <w:rPr>
      <w:rFonts w:cs="OpenSymbol"/>
      <w:b w:val="false"/>
      <w:sz w:val="20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OpenSymbol"/>
      <w:b w:val="false"/>
      <w:sz w:val="20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OpenSymbol"/>
      <w:b w:val="false"/>
      <w:sz w:val="20"/>
    </w:rPr>
  </w:style>
  <w:style w:type="character" w:styleId="ListLabel67">
    <w:name w:val="ListLabel 67"/>
    <w:qFormat/>
    <w:rPr>
      <w:rFonts w:cs="Symbol"/>
      <w:b w:val="false"/>
      <w:sz w:val="20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Symbol"/>
      <w:b w:val="false"/>
      <w:sz w:val="20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Symbol"/>
      <w:b w:val="false"/>
      <w:sz w:val="20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Symbol"/>
      <w:b w:val="false"/>
      <w:sz w:val="20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ascii="Calibri" w:hAnsi="Calibri" w:cs="Symbol"/>
      <w:b w:val="false"/>
      <w:sz w:val="24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ascii="Calibri" w:hAnsi="Calibri" w:cs="Symbol"/>
      <w:b w:val="false"/>
      <w:sz w:val="24"/>
    </w:rPr>
  </w:style>
  <w:style w:type="character" w:styleId="ListLabel80">
    <w:name w:val="ListLabel 80"/>
    <w:qFormat/>
    <w:rPr>
      <w:rFonts w:ascii="Calibri" w:hAnsi="Calibri" w:cs="Symbol"/>
      <w:b w:val="false"/>
      <w:sz w:val="24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Calibri" w:hAnsi="Calibri" w:cs="Symbol"/>
      <w:b w:val="false"/>
      <w:sz w:val="24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ascii="Calibri" w:hAnsi="Calibri" w:cs="Symbol"/>
      <w:b w:val="false"/>
      <w:sz w:val="24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Symbol"/>
      <w:b w:val="false"/>
      <w:sz w:val="24"/>
    </w:rPr>
  </w:style>
  <w:style w:type="character" w:styleId="ListLabel87">
    <w:name w:val="ListLabel 87"/>
    <w:qFormat/>
    <w:rPr>
      <w:rFonts w:cs="OpenSymbol"/>
      <w:b w:val="false"/>
      <w:sz w:val="24"/>
    </w:rPr>
  </w:style>
  <w:style w:type="character" w:styleId="ListLabel88">
    <w:name w:val="ListLabel 88"/>
    <w:qFormat/>
    <w:rPr>
      <w:rFonts w:cs="Symbol"/>
      <w:b w:val="false"/>
      <w:sz w:val="16"/>
    </w:rPr>
  </w:style>
  <w:style w:type="character" w:styleId="ListLabel89">
    <w:name w:val="ListLabel 89"/>
    <w:qFormat/>
    <w:rPr>
      <w:rFonts w:cs="Symbol"/>
      <w:b w:val="false"/>
      <w:sz w:val="24"/>
    </w:rPr>
  </w:style>
  <w:style w:type="character" w:styleId="ListLabel90">
    <w:name w:val="ListLabel 90"/>
    <w:qFormat/>
    <w:rPr>
      <w:rFonts w:cs="OpenSymbol"/>
      <w:b w:val="false"/>
      <w:sz w:val="24"/>
    </w:rPr>
  </w:style>
  <w:style w:type="character" w:styleId="ListLabel91">
    <w:name w:val="ListLabel 91"/>
    <w:qFormat/>
    <w:rPr>
      <w:rFonts w:cs="Symbol"/>
      <w:b w:val="false"/>
      <w:sz w:val="24"/>
    </w:rPr>
  </w:style>
  <w:style w:type="character" w:styleId="ListLabel92">
    <w:name w:val="ListLabel 92"/>
    <w:qFormat/>
    <w:rPr>
      <w:rFonts w:cs="OpenSymbol"/>
      <w:b w:val="false"/>
      <w:sz w:val="24"/>
    </w:rPr>
  </w:style>
  <w:style w:type="character" w:styleId="ListLabel93">
    <w:name w:val="ListLabel 93"/>
    <w:qFormat/>
    <w:rPr>
      <w:rFonts w:cs="Symbol"/>
      <w:b w:val="false"/>
      <w:sz w:val="24"/>
    </w:rPr>
  </w:style>
  <w:style w:type="character" w:styleId="ListLabel94">
    <w:name w:val="ListLabel 9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25790</TotalTime>
  <Application>LibreOffice/4.4.1.2$Windows_x86 LibreOffice_project/45e2de17089c24a1fa810c8f975a7171ba4cd432</Application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2016-03-16T17:22:00Z</dcterms:created>
  <dc:creator>User</dc:creator>
  <dc:language>en-GB</dc:language>
  <cp:lastPrinted>2019-05-14T15:57:39Z</cp:lastPrinted>
  <dcterms:modified xsi:type="dcterms:W3CDTF">2020-01-18T16:23:18Z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